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48" w:rsidRPr="008D7F79" w:rsidRDefault="008C49D3">
      <w:pPr>
        <w:rPr>
          <w:b/>
          <w:color w:val="FF0000"/>
          <w:sz w:val="70"/>
          <w:szCs w:val="70"/>
          <w:lang w:val="de-CH"/>
        </w:rPr>
      </w:pPr>
      <w:r w:rsidRPr="008D7F79">
        <w:rPr>
          <w:b/>
          <w:color w:val="FF0000"/>
          <w:sz w:val="70"/>
          <w:szCs w:val="70"/>
          <w:lang w:val="de-CH"/>
        </w:rPr>
        <w:t xml:space="preserve">Lernziele </w:t>
      </w:r>
      <w:r w:rsidR="00030679" w:rsidRPr="008D7F79">
        <w:rPr>
          <w:b/>
          <w:color w:val="FF0000"/>
          <w:sz w:val="70"/>
          <w:szCs w:val="70"/>
          <w:lang w:val="de-CH"/>
        </w:rPr>
        <w:t>«LU</w:t>
      </w:r>
      <w:r w:rsidR="00175612" w:rsidRPr="008D7F79">
        <w:rPr>
          <w:b/>
          <w:color w:val="FF0000"/>
          <w:sz w:val="70"/>
          <w:szCs w:val="70"/>
          <w:lang w:val="de-CH"/>
        </w:rPr>
        <w:t>12</w:t>
      </w:r>
      <w:r w:rsidR="00030679" w:rsidRPr="008D7F79">
        <w:rPr>
          <w:b/>
          <w:color w:val="FF0000"/>
          <w:sz w:val="70"/>
          <w:szCs w:val="70"/>
          <w:lang w:val="de-CH"/>
        </w:rPr>
        <w:t xml:space="preserve"> – </w:t>
      </w:r>
      <w:r w:rsidR="00175612" w:rsidRPr="008D7F79">
        <w:rPr>
          <w:b/>
          <w:color w:val="FF0000"/>
          <w:sz w:val="70"/>
          <w:szCs w:val="70"/>
          <w:lang w:val="de-CH"/>
        </w:rPr>
        <w:t xml:space="preserve">Parallelogramme und Dreiecke </w:t>
      </w:r>
      <w:r w:rsidR="00030679" w:rsidRPr="008D7F79">
        <w:rPr>
          <w:b/>
          <w:color w:val="FF0000"/>
          <w:sz w:val="70"/>
          <w:szCs w:val="70"/>
          <w:lang w:val="de-CH"/>
        </w:rPr>
        <w:t>»</w:t>
      </w:r>
    </w:p>
    <w:p w:rsidR="000C1768" w:rsidRPr="00030679" w:rsidRDefault="000C1768" w:rsidP="00030679">
      <w:pPr>
        <w:rPr>
          <w:color w:val="000000" w:themeColor="text1"/>
          <w:sz w:val="72"/>
          <w:szCs w:val="72"/>
          <w:lang w:val="de-CH"/>
        </w:rPr>
      </w:pPr>
    </w:p>
    <w:p w:rsidR="008D7F79" w:rsidRPr="008D7F79" w:rsidRDefault="00683855" w:rsidP="008D7F79">
      <w:pPr>
        <w:pStyle w:val="Listenabsatz"/>
        <w:numPr>
          <w:ilvl w:val="0"/>
          <w:numId w:val="4"/>
        </w:numPr>
        <w:spacing w:after="120"/>
        <w:ind w:left="567" w:hanging="567"/>
        <w:contextualSpacing w:val="0"/>
        <w:rPr>
          <w:color w:val="000000" w:themeColor="text1"/>
          <w:sz w:val="60"/>
          <w:szCs w:val="60"/>
          <w:lang w:val="de-CH"/>
        </w:rPr>
      </w:pPr>
      <w:r w:rsidRPr="008D7F79">
        <w:rPr>
          <w:color w:val="000000" w:themeColor="text1"/>
          <w:sz w:val="60"/>
          <w:szCs w:val="60"/>
          <w:lang w:val="de-CH"/>
        </w:rPr>
        <w:t>Ich kann</w:t>
      </w:r>
      <w:r w:rsidR="00922499">
        <w:rPr>
          <w:color w:val="000000" w:themeColor="text1"/>
          <w:sz w:val="60"/>
          <w:szCs w:val="60"/>
          <w:lang w:val="de-CH"/>
        </w:rPr>
        <w:t xml:space="preserve"> den</w:t>
      </w:r>
      <w:r w:rsidRPr="008D7F79">
        <w:rPr>
          <w:color w:val="000000" w:themeColor="text1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Flächeninhalt</w:t>
      </w:r>
      <w:r w:rsidR="00922499">
        <w:rPr>
          <w:b/>
          <w:color w:val="00B050"/>
          <w:sz w:val="60"/>
          <w:szCs w:val="60"/>
          <w:lang w:val="de-CH"/>
        </w:rPr>
        <w:t xml:space="preserve"> und Umfang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>von</w:t>
      </w:r>
      <w:r w:rsidR="008D7F79" w:rsidRPr="008D7F79">
        <w:rPr>
          <w:color w:val="000000" w:themeColor="text1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Parallelogrammen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und </w:t>
      </w:r>
      <w:r w:rsidRPr="008D7F79">
        <w:rPr>
          <w:b/>
          <w:color w:val="00B050"/>
          <w:sz w:val="60"/>
          <w:szCs w:val="60"/>
          <w:lang w:val="de-CH"/>
        </w:rPr>
        <w:t>Dreiecken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bestimmen</w:t>
      </w:r>
      <w:r w:rsidRPr="008D7F79">
        <w:rPr>
          <w:color w:val="000000" w:themeColor="text1"/>
          <w:sz w:val="60"/>
          <w:szCs w:val="60"/>
          <w:lang w:val="de-CH"/>
        </w:rPr>
        <w:t>.</w:t>
      </w:r>
    </w:p>
    <w:p w:rsidR="00683855" w:rsidRPr="008D7F79" w:rsidRDefault="00683855" w:rsidP="008D7F79">
      <w:pPr>
        <w:pStyle w:val="Listenabsatz"/>
        <w:numPr>
          <w:ilvl w:val="0"/>
          <w:numId w:val="4"/>
        </w:numPr>
        <w:spacing w:after="120"/>
        <w:ind w:left="567" w:hanging="567"/>
        <w:contextualSpacing w:val="0"/>
        <w:rPr>
          <w:color w:val="000000" w:themeColor="text1"/>
          <w:sz w:val="60"/>
          <w:szCs w:val="60"/>
          <w:lang w:val="de-CH"/>
        </w:rPr>
      </w:pPr>
      <w:r w:rsidRPr="008D7F79">
        <w:rPr>
          <w:color w:val="000000" w:themeColor="text1"/>
          <w:sz w:val="60"/>
          <w:szCs w:val="60"/>
          <w:lang w:val="de-CH"/>
        </w:rPr>
        <w:t xml:space="preserve">Ich kann </w:t>
      </w:r>
      <w:r w:rsidRPr="008D7F79">
        <w:rPr>
          <w:b/>
          <w:color w:val="00B050"/>
          <w:sz w:val="60"/>
          <w:szCs w:val="60"/>
          <w:lang w:val="de-CH"/>
        </w:rPr>
        <w:t>Parallelogramme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und </w:t>
      </w:r>
      <w:r w:rsidRPr="008D7F79">
        <w:rPr>
          <w:b/>
          <w:color w:val="00B050"/>
          <w:sz w:val="60"/>
          <w:szCs w:val="60"/>
          <w:lang w:val="de-CH"/>
        </w:rPr>
        <w:t>Dreiecke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massstabgetreu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zeichnen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und </w:t>
      </w:r>
      <w:r w:rsidR="00922499" w:rsidRPr="00922499">
        <w:rPr>
          <w:color w:val="000000" w:themeColor="text1"/>
          <w:sz w:val="60"/>
          <w:szCs w:val="60"/>
          <w:lang w:val="de-CH"/>
        </w:rPr>
        <w:t>korrekt</w:t>
      </w:r>
      <w:r w:rsidR="00922499">
        <w:rPr>
          <w:color w:val="000000" w:themeColor="text1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beschriften</w:t>
      </w:r>
      <w:r w:rsidRPr="008D7F79">
        <w:rPr>
          <w:color w:val="000000" w:themeColor="text1"/>
          <w:sz w:val="60"/>
          <w:szCs w:val="60"/>
          <w:lang w:val="de-CH"/>
        </w:rPr>
        <w:t>.</w:t>
      </w:r>
    </w:p>
    <w:p w:rsidR="00683855" w:rsidRPr="008D7F79" w:rsidRDefault="00683855" w:rsidP="008D7F79">
      <w:pPr>
        <w:pStyle w:val="Listenabsatz"/>
        <w:numPr>
          <w:ilvl w:val="0"/>
          <w:numId w:val="4"/>
        </w:numPr>
        <w:spacing w:after="120"/>
        <w:ind w:left="567" w:hanging="567"/>
        <w:contextualSpacing w:val="0"/>
        <w:rPr>
          <w:color w:val="000000" w:themeColor="text1"/>
          <w:sz w:val="60"/>
          <w:szCs w:val="60"/>
          <w:lang w:val="de-CH"/>
        </w:rPr>
      </w:pPr>
      <w:r w:rsidRPr="008D7F79">
        <w:rPr>
          <w:color w:val="000000" w:themeColor="text1"/>
          <w:sz w:val="60"/>
          <w:szCs w:val="60"/>
          <w:lang w:val="de-CH"/>
        </w:rPr>
        <w:t xml:space="preserve">Ich kann </w:t>
      </w:r>
      <w:r w:rsidRPr="008D7F79">
        <w:rPr>
          <w:b/>
          <w:color w:val="00B050"/>
          <w:sz w:val="60"/>
          <w:szCs w:val="60"/>
          <w:lang w:val="de-CH"/>
        </w:rPr>
        <w:t>mindestens eine Höhe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in </w:t>
      </w:r>
      <w:r w:rsidRPr="008D7F79">
        <w:rPr>
          <w:b/>
          <w:color w:val="00B050"/>
          <w:sz w:val="60"/>
          <w:szCs w:val="60"/>
          <w:lang w:val="de-CH"/>
        </w:rPr>
        <w:t>Parallelogrammen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="00922499">
        <w:rPr>
          <w:color w:val="000000" w:themeColor="text1"/>
          <w:sz w:val="60"/>
          <w:szCs w:val="60"/>
          <w:lang w:val="de-CH"/>
        </w:rPr>
        <w:t>und</w:t>
      </w:r>
      <w:r w:rsidRPr="008D7F79">
        <w:rPr>
          <w:color w:val="000000" w:themeColor="text1"/>
          <w:sz w:val="60"/>
          <w:szCs w:val="60"/>
          <w:lang w:val="de-CH"/>
        </w:rPr>
        <w:t xml:space="preserve"> in </w:t>
      </w:r>
      <w:r w:rsidRPr="008D7F79">
        <w:rPr>
          <w:b/>
          <w:color w:val="00B050"/>
          <w:sz w:val="60"/>
          <w:szCs w:val="60"/>
          <w:lang w:val="de-CH"/>
        </w:rPr>
        <w:t>Dreiecken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>einzeichnen.</w:t>
      </w:r>
    </w:p>
    <w:p w:rsidR="008D7F79" w:rsidRPr="008D7F79" w:rsidRDefault="008D7F79" w:rsidP="008D7F79">
      <w:pPr>
        <w:pStyle w:val="Listenabsatz"/>
        <w:numPr>
          <w:ilvl w:val="0"/>
          <w:numId w:val="4"/>
        </w:numPr>
        <w:spacing w:after="120"/>
        <w:ind w:left="567" w:hanging="567"/>
        <w:contextualSpacing w:val="0"/>
        <w:rPr>
          <w:color w:val="000000" w:themeColor="text1"/>
          <w:sz w:val="60"/>
          <w:szCs w:val="60"/>
          <w:lang w:val="de-CH"/>
        </w:rPr>
      </w:pPr>
      <w:r w:rsidRPr="008D7F79">
        <w:rPr>
          <w:color w:val="000000" w:themeColor="text1"/>
          <w:sz w:val="60"/>
          <w:szCs w:val="60"/>
          <w:lang w:val="de-CH"/>
        </w:rPr>
        <w:t xml:space="preserve">Ich kann </w:t>
      </w:r>
      <w:r w:rsidRPr="008D7F79">
        <w:rPr>
          <w:b/>
          <w:color w:val="00B050"/>
          <w:sz w:val="60"/>
          <w:szCs w:val="60"/>
          <w:lang w:val="de-CH"/>
        </w:rPr>
        <w:t>zeigen</w:t>
      </w:r>
      <w:r w:rsidRPr="008D7F79">
        <w:rPr>
          <w:color w:val="000000" w:themeColor="text1"/>
          <w:sz w:val="60"/>
          <w:szCs w:val="60"/>
          <w:lang w:val="de-CH"/>
        </w:rPr>
        <w:t xml:space="preserve">, dass jedes </w:t>
      </w:r>
      <w:r w:rsidRPr="008D7F79">
        <w:rPr>
          <w:b/>
          <w:color w:val="00B050"/>
          <w:sz w:val="60"/>
          <w:szCs w:val="60"/>
          <w:lang w:val="de-CH"/>
        </w:rPr>
        <w:t>Parallelogramm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in ein </w:t>
      </w:r>
      <w:r w:rsidRPr="008D7F79">
        <w:rPr>
          <w:b/>
          <w:color w:val="00B050"/>
          <w:sz w:val="60"/>
          <w:szCs w:val="60"/>
          <w:lang w:val="de-CH"/>
        </w:rPr>
        <w:t>Rechteck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umgeformt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>werden kann.</w:t>
      </w:r>
      <w:bookmarkStart w:id="0" w:name="_GoBack"/>
      <w:bookmarkEnd w:id="0"/>
    </w:p>
    <w:p w:rsidR="00683855" w:rsidRPr="008D7F79" w:rsidRDefault="008D7F79" w:rsidP="008D7F79">
      <w:pPr>
        <w:pStyle w:val="Listenabsatz"/>
        <w:numPr>
          <w:ilvl w:val="0"/>
          <w:numId w:val="4"/>
        </w:numPr>
        <w:spacing w:after="120"/>
        <w:ind w:left="567" w:hanging="567"/>
        <w:contextualSpacing w:val="0"/>
        <w:rPr>
          <w:color w:val="000000" w:themeColor="text1"/>
          <w:sz w:val="60"/>
          <w:szCs w:val="60"/>
          <w:lang w:val="de-CH"/>
        </w:rPr>
      </w:pPr>
      <w:r w:rsidRPr="008D7F79">
        <w:rPr>
          <w:color w:val="000000" w:themeColor="text1"/>
          <w:sz w:val="60"/>
          <w:szCs w:val="60"/>
          <w:lang w:val="de-CH"/>
        </w:rPr>
        <w:t xml:space="preserve">Ich kann </w:t>
      </w:r>
      <w:r w:rsidRPr="008D7F79">
        <w:rPr>
          <w:b/>
          <w:color w:val="00B050"/>
          <w:sz w:val="60"/>
          <w:szCs w:val="60"/>
          <w:lang w:val="de-CH"/>
        </w:rPr>
        <w:t>zeigen</w:t>
      </w:r>
      <w:r w:rsidRPr="008D7F79">
        <w:rPr>
          <w:color w:val="000000" w:themeColor="text1"/>
          <w:sz w:val="60"/>
          <w:szCs w:val="60"/>
          <w:lang w:val="de-CH"/>
        </w:rPr>
        <w:t xml:space="preserve">, dass jedes </w:t>
      </w:r>
      <w:r w:rsidRPr="008D7F79">
        <w:rPr>
          <w:b/>
          <w:color w:val="00B050"/>
          <w:sz w:val="60"/>
          <w:szCs w:val="60"/>
          <w:lang w:val="de-CH"/>
        </w:rPr>
        <w:t>Dreieck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in ein </w:t>
      </w:r>
      <w:r w:rsidRPr="008D7F79">
        <w:rPr>
          <w:b/>
          <w:color w:val="00B050"/>
          <w:sz w:val="60"/>
          <w:szCs w:val="60"/>
          <w:lang w:val="de-CH"/>
        </w:rPr>
        <w:t>Rechteck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b/>
          <w:color w:val="00B050"/>
          <w:sz w:val="60"/>
          <w:szCs w:val="60"/>
          <w:lang w:val="de-CH"/>
        </w:rPr>
        <w:t>umgeformt</w:t>
      </w:r>
      <w:r w:rsidRPr="008D7F79">
        <w:rPr>
          <w:color w:val="00B050"/>
          <w:sz w:val="60"/>
          <w:szCs w:val="60"/>
          <w:lang w:val="de-CH"/>
        </w:rPr>
        <w:t xml:space="preserve"> </w:t>
      </w:r>
      <w:r w:rsidRPr="008D7F79">
        <w:rPr>
          <w:color w:val="000000" w:themeColor="text1"/>
          <w:sz w:val="60"/>
          <w:szCs w:val="60"/>
          <w:lang w:val="de-CH"/>
        </w:rPr>
        <w:t xml:space="preserve">werden kann. </w:t>
      </w:r>
    </w:p>
    <w:sectPr w:rsidR="00683855" w:rsidRPr="008D7F79" w:rsidSect="008D7F79">
      <w:headerReference w:type="default" r:id="rId7"/>
      <w:pgSz w:w="16840" w:h="11900" w:orient="landscape"/>
      <w:pgMar w:top="1417" w:right="964" w:bottom="64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DC" w:rsidRDefault="00F01BDC" w:rsidP="000352C5">
      <w:r>
        <w:separator/>
      </w:r>
    </w:p>
  </w:endnote>
  <w:endnote w:type="continuationSeparator" w:id="0">
    <w:p w:rsidR="00F01BDC" w:rsidRDefault="00F01BDC" w:rsidP="0003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DC" w:rsidRDefault="00F01BDC" w:rsidP="000352C5">
      <w:r>
        <w:separator/>
      </w:r>
    </w:p>
  </w:footnote>
  <w:footnote w:type="continuationSeparator" w:id="0">
    <w:p w:rsidR="00F01BDC" w:rsidRDefault="00F01BDC" w:rsidP="0003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2C5" w:rsidRPr="000352C5" w:rsidRDefault="00030679">
    <w:pPr>
      <w:pStyle w:val="Kopfzeile"/>
      <w:rPr>
        <w:i/>
        <w:lang w:val="de-CH"/>
      </w:rPr>
    </w:pPr>
    <w:r>
      <w:rPr>
        <w:i/>
        <w:lang w:val="de-CH"/>
      </w:rPr>
      <w:t>Mathematik</w:t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</w:r>
    <w:r w:rsidR="000352C5" w:rsidRPr="000352C5">
      <w:rPr>
        <w:i/>
        <w:lang w:val="de-CH"/>
      </w:rPr>
      <w:tab/>
      <w:t>Vecchi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B32"/>
    <w:multiLevelType w:val="hybridMultilevel"/>
    <w:tmpl w:val="06927D86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F4F6C81"/>
    <w:multiLevelType w:val="hybridMultilevel"/>
    <w:tmpl w:val="CA86336E"/>
    <w:lvl w:ilvl="0" w:tplc="FC6EAC18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6A8"/>
    <w:multiLevelType w:val="hybridMultilevel"/>
    <w:tmpl w:val="2D00DAD4"/>
    <w:lvl w:ilvl="0" w:tplc="D5FE2F92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81F026E"/>
    <w:multiLevelType w:val="hybridMultilevel"/>
    <w:tmpl w:val="67047612"/>
    <w:lvl w:ilvl="0" w:tplc="D5FE2F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5"/>
    <w:rsid w:val="00006DED"/>
    <w:rsid w:val="00030679"/>
    <w:rsid w:val="000352C5"/>
    <w:rsid w:val="000B312B"/>
    <w:rsid w:val="000C1768"/>
    <w:rsid w:val="00175612"/>
    <w:rsid w:val="002800C1"/>
    <w:rsid w:val="00326B79"/>
    <w:rsid w:val="003818DE"/>
    <w:rsid w:val="00423C48"/>
    <w:rsid w:val="005B002E"/>
    <w:rsid w:val="00622828"/>
    <w:rsid w:val="00683855"/>
    <w:rsid w:val="00692661"/>
    <w:rsid w:val="007C42A7"/>
    <w:rsid w:val="008C246A"/>
    <w:rsid w:val="008C49D3"/>
    <w:rsid w:val="008D7F79"/>
    <w:rsid w:val="00922499"/>
    <w:rsid w:val="00F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0DBBF9"/>
  <w14:defaultImageDpi w14:val="32767"/>
  <w15:chartTrackingRefBased/>
  <w15:docId w15:val="{5229A57E-6447-9F44-840E-B25A9DB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2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2C5"/>
  </w:style>
  <w:style w:type="paragraph" w:styleId="Fuzeile">
    <w:name w:val="footer"/>
    <w:basedOn w:val="Standard"/>
    <w:link w:val="FuzeileZchn"/>
    <w:uiPriority w:val="99"/>
    <w:unhideWhenUsed/>
    <w:rsid w:val="000352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2C5"/>
  </w:style>
  <w:style w:type="paragraph" w:styleId="Listenabsatz">
    <w:name w:val="List Paragraph"/>
    <w:basedOn w:val="Standard"/>
    <w:uiPriority w:val="34"/>
    <w:qFormat/>
    <w:rsid w:val="000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5</cp:revision>
  <dcterms:created xsi:type="dcterms:W3CDTF">2019-01-29T05:42:00Z</dcterms:created>
  <dcterms:modified xsi:type="dcterms:W3CDTF">2019-02-26T06:13:00Z</dcterms:modified>
</cp:coreProperties>
</file>